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E6BE" w14:textId="122CE1DE" w:rsidR="003302BC" w:rsidRPr="0086544B" w:rsidRDefault="003302BC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>adw. Karolina Pilawska</w:t>
      </w:r>
    </w:p>
    <w:p w14:paraId="12D8928B" w14:textId="77777777" w:rsidR="003302BC" w:rsidRPr="0086544B" w:rsidRDefault="003302BC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>Pilawska Zorski Adwokaci</w:t>
      </w:r>
    </w:p>
    <w:p w14:paraId="162D446F" w14:textId="67B161DC" w:rsidR="003302BC" w:rsidRDefault="000F30BB" w:rsidP="00111CB1">
      <w:pPr>
        <w:jc w:val="both"/>
        <w:rPr>
          <w:rFonts w:ascii="Calibri" w:hAnsi="Calibri" w:cs="Calibri"/>
        </w:rPr>
      </w:pPr>
      <w:hyperlink r:id="rId5" w:history="1">
        <w:r w:rsidR="003302BC" w:rsidRPr="0086544B">
          <w:rPr>
            <w:rStyle w:val="Hipercze"/>
            <w:rFonts w:ascii="Calibri" w:hAnsi="Calibri" w:cs="Calibri"/>
          </w:rPr>
          <w:t>www.pzadwokaci.pl</w:t>
        </w:r>
      </w:hyperlink>
      <w:r w:rsidR="003302BC" w:rsidRPr="0086544B">
        <w:rPr>
          <w:rFonts w:ascii="Calibri" w:hAnsi="Calibri" w:cs="Calibri"/>
        </w:rPr>
        <w:t xml:space="preserve"> </w:t>
      </w:r>
    </w:p>
    <w:p w14:paraId="51D6C101" w14:textId="77777777" w:rsidR="003D5FC8" w:rsidRPr="0086544B" w:rsidRDefault="003D5FC8" w:rsidP="00111CB1">
      <w:pPr>
        <w:jc w:val="both"/>
        <w:rPr>
          <w:rFonts w:ascii="Calibri" w:hAnsi="Calibri" w:cs="Calibri"/>
        </w:rPr>
      </w:pPr>
    </w:p>
    <w:p w14:paraId="159ED165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5C808575" w14:textId="744E68D0" w:rsidR="003302BC" w:rsidRPr="0086544B" w:rsidRDefault="003302BC" w:rsidP="003302BC">
      <w:pPr>
        <w:jc w:val="center"/>
        <w:rPr>
          <w:rFonts w:ascii="Calibri" w:hAnsi="Calibri" w:cs="Calibri"/>
          <w:b/>
          <w:bCs/>
        </w:rPr>
      </w:pPr>
      <w:r w:rsidRPr="0086544B">
        <w:rPr>
          <w:rFonts w:ascii="Calibri" w:hAnsi="Calibri" w:cs="Calibri"/>
          <w:b/>
          <w:bCs/>
        </w:rPr>
        <w:t xml:space="preserve">FRANKOWICZE Z BANKU BPH S.A. </w:t>
      </w:r>
      <w:r w:rsidRPr="0086544B">
        <w:rPr>
          <w:rFonts w:ascii="Calibri" w:hAnsi="Calibri" w:cs="Calibri"/>
          <w:b/>
          <w:bCs/>
        </w:rPr>
        <w:br/>
        <w:t>WOBEC OGROMNEJ STARTY TEGO BANKU ZA 2023 ROK</w:t>
      </w:r>
    </w:p>
    <w:p w14:paraId="42FEAE51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0DB3D8E5" w14:textId="154D53EC" w:rsidR="00986FA5" w:rsidRPr="0086544B" w:rsidRDefault="00E73E8E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>Pod koniec maja Bank BPH S.A. opublikował sprawozdanie finansowe za 2023 rok</w:t>
      </w:r>
      <w:r w:rsidR="00986FA5" w:rsidRPr="0086544B">
        <w:rPr>
          <w:rFonts w:ascii="Calibri" w:hAnsi="Calibri" w:cs="Calibri"/>
        </w:rPr>
        <w:t xml:space="preserve">. Sprawozdanie prezentujące rekordową w historii </w:t>
      </w:r>
      <w:r w:rsidR="00BC0319" w:rsidRPr="0086544B">
        <w:rPr>
          <w:rFonts w:ascii="Calibri" w:hAnsi="Calibri" w:cs="Calibri"/>
        </w:rPr>
        <w:t xml:space="preserve">polskiej </w:t>
      </w:r>
      <w:r w:rsidR="00986FA5" w:rsidRPr="0086544B">
        <w:rPr>
          <w:rFonts w:ascii="Calibri" w:hAnsi="Calibri" w:cs="Calibri"/>
        </w:rPr>
        <w:t xml:space="preserve">bankowości stratę </w:t>
      </w:r>
      <w:r w:rsidR="00EA415D" w:rsidRPr="0086544B">
        <w:rPr>
          <w:rFonts w:ascii="Calibri" w:hAnsi="Calibri" w:cs="Calibri"/>
        </w:rPr>
        <w:t xml:space="preserve">na </w:t>
      </w:r>
      <w:r w:rsidR="00986FA5" w:rsidRPr="0086544B">
        <w:rPr>
          <w:rFonts w:ascii="Calibri" w:hAnsi="Calibri" w:cs="Calibri"/>
        </w:rPr>
        <w:t>poziomie 5,5 mld złotych</w:t>
      </w:r>
      <w:r w:rsidR="000F30BB">
        <w:rPr>
          <w:rFonts w:ascii="Calibri" w:hAnsi="Calibri" w:cs="Calibri"/>
        </w:rPr>
        <w:t>, przy st</w:t>
      </w:r>
      <w:r w:rsidR="00BC0319" w:rsidRPr="0086544B">
        <w:rPr>
          <w:rFonts w:ascii="Calibri" w:hAnsi="Calibri" w:cs="Calibri"/>
        </w:rPr>
        <w:t>r</w:t>
      </w:r>
      <w:r w:rsidR="000F30BB">
        <w:rPr>
          <w:rFonts w:ascii="Calibri" w:hAnsi="Calibri" w:cs="Calibri"/>
        </w:rPr>
        <w:t>a</w:t>
      </w:r>
      <w:r w:rsidR="00BC0319" w:rsidRPr="0086544B">
        <w:rPr>
          <w:rFonts w:ascii="Calibri" w:hAnsi="Calibri" w:cs="Calibri"/>
        </w:rPr>
        <w:t xml:space="preserve">cie na poziomie 1,7 mld złotych za 2022 rok. </w:t>
      </w:r>
      <w:r w:rsidR="00986FA5" w:rsidRPr="0086544B">
        <w:rPr>
          <w:rFonts w:ascii="Calibri" w:hAnsi="Calibri" w:cs="Calibri"/>
        </w:rPr>
        <w:t xml:space="preserve">Czy zatem kredytobiorcy frankowi posiadający kredyty </w:t>
      </w:r>
      <w:bookmarkStart w:id="0" w:name="_GoBack"/>
      <w:bookmarkEnd w:id="0"/>
      <w:r w:rsidR="00EA415D" w:rsidRPr="0086544B">
        <w:rPr>
          <w:rFonts w:ascii="Calibri" w:hAnsi="Calibri" w:cs="Calibri"/>
        </w:rPr>
        <w:t xml:space="preserve">hipoteczne </w:t>
      </w:r>
      <w:r w:rsidR="00986FA5" w:rsidRPr="0086544B">
        <w:rPr>
          <w:rFonts w:ascii="Calibri" w:hAnsi="Calibri" w:cs="Calibri"/>
        </w:rPr>
        <w:t xml:space="preserve">w tym banku mają się czego obawiać? </w:t>
      </w:r>
    </w:p>
    <w:p w14:paraId="5554439B" w14:textId="31FA7E31" w:rsidR="00E73E8E" w:rsidRPr="0086544B" w:rsidRDefault="00E73E8E" w:rsidP="00111CB1">
      <w:pPr>
        <w:jc w:val="both"/>
        <w:rPr>
          <w:rFonts w:ascii="Calibri" w:hAnsi="Calibri" w:cs="Calibri"/>
        </w:rPr>
      </w:pPr>
    </w:p>
    <w:p w14:paraId="5CCAA16A" w14:textId="3A3FFEB6" w:rsidR="0086544B" w:rsidRPr="0086544B" w:rsidRDefault="00EA415D" w:rsidP="0086544B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 xml:space="preserve">I tak i nie. </w:t>
      </w:r>
      <w:r w:rsidR="003302BC" w:rsidRPr="0086544B">
        <w:rPr>
          <w:rFonts w:ascii="Calibri" w:hAnsi="Calibri" w:cs="Calibri"/>
        </w:rPr>
        <w:t xml:space="preserve">Wszystko zależy od tego, w jakiej sytuacji znajduje się indywidualny </w:t>
      </w:r>
      <w:proofErr w:type="spellStart"/>
      <w:r w:rsidR="003302BC" w:rsidRPr="0086544B">
        <w:rPr>
          <w:rFonts w:ascii="Calibri" w:hAnsi="Calibri" w:cs="Calibri"/>
        </w:rPr>
        <w:t>Frankowicz</w:t>
      </w:r>
      <w:proofErr w:type="spellEnd"/>
      <w:r w:rsidR="003302BC" w:rsidRPr="0086544B">
        <w:rPr>
          <w:rFonts w:ascii="Calibri" w:hAnsi="Calibri" w:cs="Calibri"/>
        </w:rPr>
        <w:t xml:space="preserve"> z tego banku. Część kredytobiorców ma nadwyżkę ponad kapitał, cz</w:t>
      </w:r>
      <w:r w:rsidR="00725014">
        <w:rPr>
          <w:rFonts w:ascii="Calibri" w:hAnsi="Calibri" w:cs="Calibri"/>
        </w:rPr>
        <w:t>ę</w:t>
      </w:r>
      <w:r w:rsidR="003302BC" w:rsidRPr="0086544B">
        <w:rPr>
          <w:rFonts w:ascii="Calibri" w:hAnsi="Calibri" w:cs="Calibri"/>
        </w:rPr>
        <w:t>ść jeszcze nie spłaciła udostępnionego kapitału</w:t>
      </w:r>
      <w:r w:rsidR="002540AD" w:rsidRPr="0086544B">
        <w:rPr>
          <w:rFonts w:ascii="Calibri" w:hAnsi="Calibri" w:cs="Calibri"/>
        </w:rPr>
        <w:t>, niektórzy wszczęli</w:t>
      </w:r>
      <w:r w:rsidR="003302BC" w:rsidRPr="0086544B">
        <w:rPr>
          <w:rFonts w:ascii="Calibri" w:hAnsi="Calibri" w:cs="Calibri"/>
        </w:rPr>
        <w:t xml:space="preserve"> już procesy sądowe, </w:t>
      </w:r>
      <w:r w:rsidR="002540AD" w:rsidRPr="0086544B">
        <w:rPr>
          <w:rFonts w:ascii="Calibri" w:hAnsi="Calibri" w:cs="Calibri"/>
        </w:rPr>
        <w:t xml:space="preserve">a </w:t>
      </w:r>
      <w:r w:rsidR="003302BC" w:rsidRPr="0086544B">
        <w:rPr>
          <w:rFonts w:ascii="Calibri" w:hAnsi="Calibri" w:cs="Calibri"/>
        </w:rPr>
        <w:t xml:space="preserve">większość nadal się zastanawia. </w:t>
      </w:r>
      <w:r w:rsidR="00E851C6" w:rsidRPr="0086544B">
        <w:rPr>
          <w:rFonts w:ascii="Calibri" w:hAnsi="Calibri" w:cs="Calibri"/>
        </w:rPr>
        <w:t xml:space="preserve">Jak wynika ze sprawozdania na dzień 31 grudnia 2023 roku </w:t>
      </w:r>
      <w:r w:rsidR="0086544B" w:rsidRPr="0086544B">
        <w:rPr>
          <w:rFonts w:ascii="Calibri" w:hAnsi="Calibri" w:cs="Calibri"/>
        </w:rPr>
        <w:t>Bank BPH S.A. był stroną 18605 postępowań sądowych (na dzień 31 grudnia 2022 roku: 13224), w których kredytobiorcy dochodzą zapłaty w związku z zawarciem umów kredytów indeksowanych</w:t>
      </w:r>
      <w:r w:rsidR="003D5FC8">
        <w:rPr>
          <w:rFonts w:ascii="Calibri" w:hAnsi="Calibri" w:cs="Calibri"/>
        </w:rPr>
        <w:t xml:space="preserve"> i </w:t>
      </w:r>
      <w:r w:rsidR="0086544B" w:rsidRPr="0086544B">
        <w:rPr>
          <w:rFonts w:ascii="Calibri" w:hAnsi="Calibri" w:cs="Calibri"/>
        </w:rPr>
        <w:t xml:space="preserve">denominowanych do CHF, </w:t>
      </w:r>
      <w:r w:rsidR="003D5FC8">
        <w:rPr>
          <w:rFonts w:ascii="Calibri" w:hAnsi="Calibri" w:cs="Calibri"/>
        </w:rPr>
        <w:t xml:space="preserve">zawierających </w:t>
      </w:r>
      <w:r w:rsidR="0086544B" w:rsidRPr="0086544B">
        <w:rPr>
          <w:rFonts w:ascii="Calibri" w:hAnsi="Calibri" w:cs="Calibri"/>
        </w:rPr>
        <w:t>abuzywne ich zdaniem postanowienia. Łączna wartość przedmiotu sporu w tych sprawach na dzień 31 grudnia 2023 roku wynosiła 6</w:t>
      </w:r>
      <w:r w:rsidR="00C1590D">
        <w:rPr>
          <w:rFonts w:ascii="Calibri" w:hAnsi="Calibri" w:cs="Calibri"/>
        </w:rPr>
        <w:t>.</w:t>
      </w:r>
      <w:r w:rsidR="0086544B" w:rsidRPr="0086544B">
        <w:rPr>
          <w:rFonts w:ascii="Calibri" w:hAnsi="Calibri" w:cs="Calibri"/>
        </w:rPr>
        <w:t>948</w:t>
      </w:r>
      <w:r w:rsidR="00C1590D">
        <w:rPr>
          <w:rFonts w:ascii="Calibri" w:hAnsi="Calibri" w:cs="Calibri"/>
        </w:rPr>
        <w:t>.</w:t>
      </w:r>
      <w:r w:rsidR="0086544B" w:rsidRPr="0086544B">
        <w:rPr>
          <w:rFonts w:ascii="Calibri" w:hAnsi="Calibri" w:cs="Calibri"/>
        </w:rPr>
        <w:t>253</w:t>
      </w:r>
      <w:r w:rsidR="00C1590D">
        <w:rPr>
          <w:rFonts w:ascii="Calibri" w:hAnsi="Calibri" w:cs="Calibri"/>
        </w:rPr>
        <w:t>.000,00</w:t>
      </w:r>
      <w:r w:rsidR="0086544B" w:rsidRPr="0086544B">
        <w:rPr>
          <w:rFonts w:ascii="Calibri" w:hAnsi="Calibri" w:cs="Calibri"/>
        </w:rPr>
        <w:t xml:space="preserve"> zł</w:t>
      </w:r>
      <w:r w:rsidR="00C1590D">
        <w:rPr>
          <w:rFonts w:ascii="Calibri" w:hAnsi="Calibri" w:cs="Calibri"/>
        </w:rPr>
        <w:t xml:space="preserve">otych </w:t>
      </w:r>
      <w:r w:rsidR="0086544B" w:rsidRPr="0086544B">
        <w:rPr>
          <w:rFonts w:ascii="Calibri" w:hAnsi="Calibri" w:cs="Calibri"/>
        </w:rPr>
        <w:t>(na dzień 31 grudnia 2022 roku 4</w:t>
      </w:r>
      <w:r w:rsidR="00C1590D">
        <w:rPr>
          <w:rFonts w:ascii="Calibri" w:hAnsi="Calibri" w:cs="Calibri"/>
        </w:rPr>
        <w:t>.</w:t>
      </w:r>
      <w:r w:rsidR="0086544B" w:rsidRPr="0086544B">
        <w:rPr>
          <w:rFonts w:ascii="Calibri" w:hAnsi="Calibri" w:cs="Calibri"/>
        </w:rPr>
        <w:t>192</w:t>
      </w:r>
      <w:r w:rsidR="00C1590D">
        <w:rPr>
          <w:rFonts w:ascii="Calibri" w:hAnsi="Calibri" w:cs="Calibri"/>
        </w:rPr>
        <w:t>.</w:t>
      </w:r>
      <w:r w:rsidR="0086544B" w:rsidRPr="0086544B">
        <w:rPr>
          <w:rFonts w:ascii="Calibri" w:hAnsi="Calibri" w:cs="Calibri"/>
        </w:rPr>
        <w:t>919</w:t>
      </w:r>
      <w:r w:rsidR="00C1590D">
        <w:rPr>
          <w:rFonts w:ascii="Calibri" w:hAnsi="Calibri" w:cs="Calibri"/>
        </w:rPr>
        <w:t xml:space="preserve">.000,00 </w:t>
      </w:r>
      <w:r w:rsidR="0086544B" w:rsidRPr="0086544B">
        <w:rPr>
          <w:rFonts w:ascii="Calibri" w:hAnsi="Calibri" w:cs="Calibri"/>
        </w:rPr>
        <w:t>zł</w:t>
      </w:r>
      <w:r w:rsidR="00C1590D">
        <w:rPr>
          <w:rFonts w:ascii="Calibri" w:hAnsi="Calibri" w:cs="Calibri"/>
        </w:rPr>
        <w:t>otych</w:t>
      </w:r>
      <w:r w:rsidR="0086544B" w:rsidRPr="0086544B">
        <w:rPr>
          <w:rFonts w:ascii="Calibri" w:hAnsi="Calibri" w:cs="Calibri"/>
        </w:rPr>
        <w:t>).</w:t>
      </w:r>
    </w:p>
    <w:p w14:paraId="53BBC961" w14:textId="77777777" w:rsidR="00E851C6" w:rsidRDefault="00E851C6" w:rsidP="00111CB1">
      <w:pPr>
        <w:jc w:val="both"/>
        <w:rPr>
          <w:rFonts w:ascii="Calibri" w:hAnsi="Calibri" w:cs="Calibri"/>
        </w:rPr>
      </w:pPr>
    </w:p>
    <w:p w14:paraId="6CE76CE1" w14:textId="5FC3D952" w:rsidR="00B84243" w:rsidRDefault="00B84243" w:rsidP="007B6D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również pamiętać, że o</w:t>
      </w:r>
      <w:r w:rsidRPr="007B6DA9">
        <w:rPr>
          <w:rFonts w:ascii="Calibri" w:hAnsi="Calibri" w:cs="Calibri"/>
        </w:rPr>
        <w:t>d podziału w dniu 4 listopada 2016 roku działalność Banku</w:t>
      </w:r>
      <w:r>
        <w:rPr>
          <w:rFonts w:ascii="Calibri" w:hAnsi="Calibri" w:cs="Calibri"/>
        </w:rPr>
        <w:t xml:space="preserve"> </w:t>
      </w:r>
      <w:r w:rsidR="003D5FC8">
        <w:rPr>
          <w:rFonts w:ascii="Calibri" w:hAnsi="Calibri" w:cs="Calibri"/>
        </w:rPr>
        <w:t xml:space="preserve">BPH S.A. </w:t>
      </w:r>
      <w:r w:rsidRPr="007B6DA9">
        <w:rPr>
          <w:rFonts w:ascii="Calibri" w:hAnsi="Calibri" w:cs="Calibri"/>
        </w:rPr>
        <w:t>skoncentrowana jest na obsłudze portfela kredytów hipotecznych w CHF, PLN oraz innych</w:t>
      </w:r>
      <w:r w:rsidR="00206754">
        <w:rPr>
          <w:rFonts w:ascii="Calibri" w:hAnsi="Calibri" w:cs="Calibri"/>
        </w:rPr>
        <w:t xml:space="preserve"> </w:t>
      </w:r>
      <w:r w:rsidRPr="007B6DA9">
        <w:rPr>
          <w:rFonts w:ascii="Calibri" w:hAnsi="Calibri" w:cs="Calibri"/>
        </w:rPr>
        <w:t>walutach, udzielonych na rzecz osób fizycznych przed jego podziałem</w:t>
      </w:r>
      <w:r>
        <w:rPr>
          <w:rFonts w:ascii="Calibri" w:hAnsi="Calibri" w:cs="Calibri"/>
        </w:rPr>
        <w:t xml:space="preserve">. Bank BPH S.A. nie prowadzi </w:t>
      </w:r>
      <w:r w:rsidRPr="007B6DA9">
        <w:rPr>
          <w:rFonts w:ascii="Calibri" w:hAnsi="Calibri" w:cs="Calibri"/>
        </w:rPr>
        <w:t xml:space="preserve">nowej sprzedaży kredytów oraz </w:t>
      </w:r>
      <w:r>
        <w:rPr>
          <w:rFonts w:ascii="Calibri" w:hAnsi="Calibri" w:cs="Calibri"/>
        </w:rPr>
        <w:t>d</w:t>
      </w:r>
      <w:r w:rsidRPr="007B6DA9">
        <w:rPr>
          <w:rFonts w:ascii="Calibri" w:hAnsi="Calibri" w:cs="Calibri"/>
        </w:rPr>
        <w:t>ziałalności depozytowej</w:t>
      </w:r>
      <w:r>
        <w:rPr>
          <w:rFonts w:ascii="Calibri" w:hAnsi="Calibri" w:cs="Calibri"/>
        </w:rPr>
        <w:t>, która w kontekście ewentualnej upadłości byłaby kluczowa. Upadłość Banku ogłasza się bowiem, jak miało to miejsce w przypadku Getin Noble Bank S.A, kiedy depozyty są zagrożone. Dlatego też na pewno nie można</w:t>
      </w:r>
      <w:r w:rsidR="00206754">
        <w:rPr>
          <w:rFonts w:ascii="Calibri" w:hAnsi="Calibri" w:cs="Calibri"/>
        </w:rPr>
        <w:t xml:space="preserve"> sytuacji Getin Noble Bank S.A. przekładać na sytuację Banku BPH S.A., gdzie decyzja o ogłoszeniu najpierw restrukturyzacji, a potem upadłości</w:t>
      </w:r>
      <w:r w:rsidR="0023223D">
        <w:rPr>
          <w:rFonts w:ascii="Calibri" w:hAnsi="Calibri" w:cs="Calibri"/>
        </w:rPr>
        <w:t>,</w:t>
      </w:r>
      <w:r w:rsidR="00206754">
        <w:rPr>
          <w:rFonts w:ascii="Calibri" w:hAnsi="Calibri" w:cs="Calibri"/>
        </w:rPr>
        <w:t xml:space="preserve"> była podyktowana </w:t>
      </w:r>
      <w:r w:rsidR="00E2352F">
        <w:rPr>
          <w:rFonts w:ascii="Calibri" w:hAnsi="Calibri" w:cs="Calibri"/>
        </w:rPr>
        <w:t>koniecznością</w:t>
      </w:r>
      <w:r w:rsidR="00206754">
        <w:rPr>
          <w:rFonts w:ascii="Calibri" w:hAnsi="Calibri" w:cs="Calibri"/>
        </w:rPr>
        <w:t xml:space="preserve"> ochrony depozytów, które ten bank posiadał. </w:t>
      </w:r>
    </w:p>
    <w:p w14:paraId="2FAE9D35" w14:textId="77777777" w:rsidR="00FD4D7B" w:rsidRPr="007B6DA9" w:rsidRDefault="00FD4D7B" w:rsidP="007B6DA9">
      <w:pPr>
        <w:jc w:val="both"/>
        <w:rPr>
          <w:rFonts w:ascii="Calibri" w:hAnsi="Calibri" w:cs="Calibri"/>
        </w:rPr>
      </w:pPr>
    </w:p>
    <w:p w14:paraId="1A22119C" w14:textId="04E4AC89" w:rsidR="003302BC" w:rsidRPr="0086544B" w:rsidRDefault="003302BC" w:rsidP="00111CB1">
      <w:pPr>
        <w:jc w:val="both"/>
        <w:rPr>
          <w:rFonts w:ascii="Calibri" w:hAnsi="Calibri" w:cs="Calibri"/>
          <w:b/>
          <w:bCs/>
        </w:rPr>
      </w:pPr>
      <w:r w:rsidRPr="0086544B">
        <w:rPr>
          <w:rFonts w:ascii="Calibri" w:hAnsi="Calibri" w:cs="Calibri"/>
          <w:b/>
          <w:bCs/>
        </w:rPr>
        <w:t xml:space="preserve">Kto jest w najlepszej sytuacji? </w:t>
      </w:r>
    </w:p>
    <w:p w14:paraId="4D75C1D4" w14:textId="77777777" w:rsidR="0086544B" w:rsidRPr="0086544B" w:rsidRDefault="0086544B" w:rsidP="00111CB1">
      <w:pPr>
        <w:jc w:val="both"/>
        <w:rPr>
          <w:rFonts w:ascii="Calibri" w:hAnsi="Calibri" w:cs="Calibri"/>
        </w:rPr>
      </w:pPr>
    </w:p>
    <w:p w14:paraId="59FF2FC6" w14:textId="7730F821" w:rsidR="0086544B" w:rsidRPr="0086544B" w:rsidRDefault="0086544B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 xml:space="preserve">Paradoksalnie w najlepszej sytuacji są kredytobiorcy, którzy </w:t>
      </w:r>
      <w:r>
        <w:rPr>
          <w:rFonts w:ascii="Calibri" w:hAnsi="Calibri" w:cs="Calibri"/>
        </w:rPr>
        <w:t>nie spłacili jeszcze kapitału,</w:t>
      </w:r>
      <w:r w:rsidR="007B6DA9">
        <w:rPr>
          <w:rFonts w:ascii="Calibri" w:hAnsi="Calibri" w:cs="Calibri"/>
        </w:rPr>
        <w:t xml:space="preserve"> czyli suma ich spłat na rzecz banku jest niższa niż kwota udostępnionego kredytu. </w:t>
      </w:r>
      <w:r w:rsidR="00E2352F">
        <w:rPr>
          <w:rFonts w:ascii="Calibri" w:hAnsi="Calibri" w:cs="Calibri"/>
        </w:rPr>
        <w:t xml:space="preserve">W </w:t>
      </w:r>
      <w:r w:rsidR="003D5FC8">
        <w:rPr>
          <w:rFonts w:ascii="Calibri" w:hAnsi="Calibri" w:cs="Calibri"/>
        </w:rPr>
        <w:t xml:space="preserve">momencie </w:t>
      </w:r>
      <w:r w:rsidR="00E2352F">
        <w:rPr>
          <w:rFonts w:ascii="Calibri" w:hAnsi="Calibri" w:cs="Calibri"/>
        </w:rPr>
        <w:t xml:space="preserve">ewentualnej upadłości tacy kredytobiorcy de facto nie stracą, </w:t>
      </w:r>
      <w:r w:rsidR="00C1590D">
        <w:rPr>
          <w:rFonts w:ascii="Calibri" w:hAnsi="Calibri" w:cs="Calibri"/>
        </w:rPr>
        <w:t xml:space="preserve">ponieważ nadal są dłużnikami banku. W przypadku stwierdzenia nieważności </w:t>
      </w:r>
      <w:r w:rsidR="00DE3C69">
        <w:rPr>
          <w:rFonts w:ascii="Calibri" w:hAnsi="Calibri" w:cs="Calibri"/>
        </w:rPr>
        <w:t xml:space="preserve">umowy kredytu </w:t>
      </w:r>
      <w:r w:rsidR="00D411AE">
        <w:rPr>
          <w:rFonts w:ascii="Calibri" w:hAnsi="Calibri" w:cs="Calibri"/>
        </w:rPr>
        <w:t xml:space="preserve">strony rozliczają się z kwot, które pomiędzy nimi przepłynęły, tzn. bank zwraca kredytobiorcy wszystkie wpłacone raty i inne koszty, a kredytobiorca oddaje kwotę kapitału. W konfiguracji, w której suma spłat nie uzupełnia kwoty kapitału, to klient musi dopłacić do banku brakująca do kapitału kwotę. Warto jednak zaznaczyć, </w:t>
      </w:r>
      <w:r w:rsidR="00DF52D0">
        <w:rPr>
          <w:rFonts w:ascii="Calibri" w:hAnsi="Calibri" w:cs="Calibri"/>
        </w:rPr>
        <w:t>ż</w:t>
      </w:r>
      <w:r w:rsidR="00D411AE">
        <w:rPr>
          <w:rFonts w:ascii="Calibri" w:hAnsi="Calibri" w:cs="Calibri"/>
        </w:rPr>
        <w:t xml:space="preserve">e takich </w:t>
      </w:r>
      <w:r w:rsidR="00DF52D0">
        <w:rPr>
          <w:rFonts w:ascii="Calibri" w:hAnsi="Calibri" w:cs="Calibri"/>
        </w:rPr>
        <w:t>przypadków</w:t>
      </w:r>
      <w:r w:rsidR="00D411AE">
        <w:rPr>
          <w:rFonts w:ascii="Calibri" w:hAnsi="Calibri" w:cs="Calibri"/>
        </w:rPr>
        <w:t xml:space="preserve"> </w:t>
      </w:r>
      <w:r w:rsidR="00DF52D0">
        <w:rPr>
          <w:rFonts w:ascii="Calibri" w:hAnsi="Calibri" w:cs="Calibri"/>
        </w:rPr>
        <w:t>jest</w:t>
      </w:r>
      <w:r w:rsidR="00D411AE">
        <w:rPr>
          <w:rFonts w:ascii="Calibri" w:hAnsi="Calibri" w:cs="Calibri"/>
        </w:rPr>
        <w:t xml:space="preserve"> </w:t>
      </w:r>
      <w:r w:rsidR="00DF52D0">
        <w:rPr>
          <w:rFonts w:ascii="Calibri" w:hAnsi="Calibri" w:cs="Calibri"/>
        </w:rPr>
        <w:t>coraz</w:t>
      </w:r>
      <w:r w:rsidR="00D411AE">
        <w:rPr>
          <w:rFonts w:ascii="Calibri" w:hAnsi="Calibri" w:cs="Calibri"/>
        </w:rPr>
        <w:t xml:space="preserve"> </w:t>
      </w:r>
      <w:r w:rsidR="00DF52D0">
        <w:rPr>
          <w:rFonts w:ascii="Calibri" w:hAnsi="Calibri" w:cs="Calibri"/>
        </w:rPr>
        <w:t>mniej</w:t>
      </w:r>
      <w:r w:rsidR="00D411AE">
        <w:rPr>
          <w:rFonts w:ascii="Calibri" w:hAnsi="Calibri" w:cs="Calibri"/>
        </w:rPr>
        <w:t>. Boom udzielania tego rodzaju kred</w:t>
      </w:r>
      <w:r w:rsidR="00DF52D0">
        <w:rPr>
          <w:rFonts w:ascii="Calibri" w:hAnsi="Calibri" w:cs="Calibri"/>
        </w:rPr>
        <w:t xml:space="preserve">ytów </w:t>
      </w:r>
      <w:r w:rsidR="00D411AE">
        <w:rPr>
          <w:rFonts w:ascii="Calibri" w:hAnsi="Calibri" w:cs="Calibri"/>
        </w:rPr>
        <w:t>przypadał na lata 2005-2008, st</w:t>
      </w:r>
      <w:r w:rsidR="003D5FC8">
        <w:rPr>
          <w:rFonts w:ascii="Calibri" w:hAnsi="Calibri" w:cs="Calibri"/>
        </w:rPr>
        <w:t>ą</w:t>
      </w:r>
      <w:r w:rsidR="00D411AE">
        <w:rPr>
          <w:rFonts w:ascii="Calibri" w:hAnsi="Calibri" w:cs="Calibri"/>
        </w:rPr>
        <w:t xml:space="preserve">d zdecydowana większość </w:t>
      </w:r>
      <w:proofErr w:type="spellStart"/>
      <w:r w:rsidR="00D411AE">
        <w:rPr>
          <w:rFonts w:ascii="Calibri" w:hAnsi="Calibri" w:cs="Calibri"/>
        </w:rPr>
        <w:t>Frankowiczów</w:t>
      </w:r>
      <w:proofErr w:type="spellEnd"/>
      <w:r w:rsidR="00D411AE">
        <w:rPr>
          <w:rFonts w:ascii="Calibri" w:hAnsi="Calibri" w:cs="Calibri"/>
        </w:rPr>
        <w:t xml:space="preserve"> </w:t>
      </w:r>
      <w:r w:rsidR="00DF52D0">
        <w:rPr>
          <w:rFonts w:ascii="Calibri" w:hAnsi="Calibri" w:cs="Calibri"/>
        </w:rPr>
        <w:t>spłaciła</w:t>
      </w:r>
      <w:r w:rsidR="00D411AE">
        <w:rPr>
          <w:rFonts w:ascii="Calibri" w:hAnsi="Calibri" w:cs="Calibri"/>
        </w:rPr>
        <w:t xml:space="preserve"> </w:t>
      </w:r>
      <w:r w:rsidR="003D5FC8">
        <w:rPr>
          <w:rFonts w:ascii="Calibri" w:hAnsi="Calibri" w:cs="Calibri"/>
        </w:rPr>
        <w:t xml:space="preserve">już </w:t>
      </w:r>
      <w:r w:rsidR="00D411AE">
        <w:rPr>
          <w:rFonts w:ascii="Calibri" w:hAnsi="Calibri" w:cs="Calibri"/>
        </w:rPr>
        <w:t xml:space="preserve">kapitał z nadwyżką. </w:t>
      </w:r>
    </w:p>
    <w:p w14:paraId="63CC8024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0AC2CF69" w14:textId="692C1B41" w:rsidR="00E2352F" w:rsidRPr="0086544B" w:rsidRDefault="00BC0319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lastRenderedPageBreak/>
        <w:t>W</w:t>
      </w:r>
      <w:r w:rsidR="007B6DA9">
        <w:rPr>
          <w:rFonts w:ascii="Calibri" w:hAnsi="Calibri" w:cs="Calibri"/>
        </w:rPr>
        <w:t xml:space="preserve"> dobrej</w:t>
      </w:r>
      <w:r w:rsidRPr="0086544B">
        <w:rPr>
          <w:rFonts w:ascii="Calibri" w:hAnsi="Calibri" w:cs="Calibri"/>
        </w:rPr>
        <w:t xml:space="preserve"> sytuacji są </w:t>
      </w:r>
      <w:r w:rsidR="003D5FC8">
        <w:rPr>
          <w:rFonts w:ascii="Calibri" w:hAnsi="Calibri" w:cs="Calibri"/>
        </w:rPr>
        <w:t xml:space="preserve">także </w:t>
      </w:r>
      <w:r w:rsidRPr="0086544B">
        <w:rPr>
          <w:rFonts w:ascii="Calibri" w:hAnsi="Calibri" w:cs="Calibri"/>
        </w:rPr>
        <w:t xml:space="preserve">osoby, które pozwały bank, a w ich sprawie zostało wydane prawomocne postanowienie o zabezpieczeniu. Oznacza to, że sąd zwolnił tych kredytobiorców z obowiązku płacenia rat kredytu do czasu zakończenia procesu. </w:t>
      </w:r>
      <w:r w:rsidR="00E851C6" w:rsidRPr="0086544B">
        <w:rPr>
          <w:rFonts w:ascii="Calibri" w:hAnsi="Calibri" w:cs="Calibri"/>
        </w:rPr>
        <w:t xml:space="preserve">W efekcie tacy Klienci, którzy mają spłacony kapitał i nie ciąży na nich obowiązek comiesięcznej spłaty raty, </w:t>
      </w:r>
      <w:r w:rsidR="0086544B" w:rsidRPr="0086544B">
        <w:rPr>
          <w:rFonts w:ascii="Calibri" w:hAnsi="Calibri" w:cs="Calibri"/>
        </w:rPr>
        <w:t xml:space="preserve">nie wpłacają już do banku pieniędzy, które w przypadku ogłoszenia upadłości prawdopodobnie nie zostałyby odzyskane. </w:t>
      </w:r>
    </w:p>
    <w:p w14:paraId="40745AD1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50C2280F" w14:textId="459BD23E" w:rsidR="003302BC" w:rsidRPr="00E2352F" w:rsidRDefault="003302BC" w:rsidP="00111CB1">
      <w:pPr>
        <w:jc w:val="both"/>
        <w:rPr>
          <w:rFonts w:ascii="Calibri" w:hAnsi="Calibri" w:cs="Calibri"/>
          <w:b/>
          <w:bCs/>
        </w:rPr>
      </w:pPr>
      <w:r w:rsidRPr="00E2352F">
        <w:rPr>
          <w:rFonts w:ascii="Calibri" w:hAnsi="Calibri" w:cs="Calibri"/>
          <w:b/>
          <w:bCs/>
        </w:rPr>
        <w:t>Kto powinien się obawiać?</w:t>
      </w:r>
    </w:p>
    <w:p w14:paraId="1C41478D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5A0A945B" w14:textId="31AB42C0" w:rsidR="003302BC" w:rsidRDefault="00E2352F" w:rsidP="00111C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Przede wszystkim osoby, które </w:t>
      </w:r>
      <w:r w:rsidR="00DF52D0">
        <w:rPr>
          <w:rFonts w:ascii="Calibri" w:hAnsi="Calibri" w:cs="Calibri"/>
        </w:rPr>
        <w:t xml:space="preserve">nie podjęły żadnych działań w związku z zawartą z tym bankiem Umową kredytu. </w:t>
      </w:r>
      <w:r w:rsidR="00F538B9">
        <w:rPr>
          <w:rFonts w:ascii="Calibri" w:hAnsi="Calibri" w:cs="Calibri"/>
        </w:rPr>
        <w:t xml:space="preserve">Dalsze spłacanie rat, bez weryfikacji umowy kredytu pod kątem zawarcia w niej niedozwolonych postanowień umownych, w przypadku </w:t>
      </w:r>
      <w:r w:rsidR="003D5FC8">
        <w:rPr>
          <w:rFonts w:ascii="Calibri" w:hAnsi="Calibri" w:cs="Calibri"/>
        </w:rPr>
        <w:t xml:space="preserve">dalszego </w:t>
      </w:r>
      <w:r w:rsidR="00F538B9">
        <w:rPr>
          <w:rFonts w:ascii="Calibri" w:hAnsi="Calibri" w:cs="Calibri"/>
        </w:rPr>
        <w:t xml:space="preserve">pogarszania się sytuacji finansowej Banku BPH S.A. może skutkować niemożnością odzyskania przez kredytobiorcę należnych kwot. </w:t>
      </w:r>
      <w:r w:rsidR="00FD4D7B">
        <w:rPr>
          <w:rFonts w:ascii="Calibri" w:hAnsi="Calibri" w:cs="Calibri"/>
        </w:rPr>
        <w:t xml:space="preserve">Dlatego też tak ważne jest podjęcie działań – czy to w zakresie rozmów ugodowych czy pozwania banku. </w:t>
      </w:r>
    </w:p>
    <w:p w14:paraId="1D67ACB2" w14:textId="77777777" w:rsidR="00E2352F" w:rsidRPr="0086544B" w:rsidRDefault="00E2352F" w:rsidP="00111CB1">
      <w:pPr>
        <w:jc w:val="both"/>
        <w:rPr>
          <w:rFonts w:ascii="Calibri" w:hAnsi="Calibri" w:cs="Calibri"/>
        </w:rPr>
      </w:pPr>
    </w:p>
    <w:p w14:paraId="51BF9298" w14:textId="569C6C02" w:rsidR="003302BC" w:rsidRPr="00E2352F" w:rsidRDefault="003302BC" w:rsidP="00111CB1">
      <w:pPr>
        <w:jc w:val="both"/>
        <w:rPr>
          <w:rFonts w:ascii="Calibri" w:hAnsi="Calibri" w:cs="Calibri"/>
          <w:b/>
          <w:bCs/>
        </w:rPr>
      </w:pPr>
      <w:r w:rsidRPr="00E2352F">
        <w:rPr>
          <w:rFonts w:ascii="Calibri" w:hAnsi="Calibri" w:cs="Calibri"/>
          <w:b/>
          <w:bCs/>
        </w:rPr>
        <w:t xml:space="preserve">Czy warto pozwać bank? </w:t>
      </w:r>
    </w:p>
    <w:p w14:paraId="75E30646" w14:textId="77777777" w:rsidR="003302BC" w:rsidRDefault="003302BC" w:rsidP="00111CB1">
      <w:pPr>
        <w:jc w:val="both"/>
        <w:rPr>
          <w:rFonts w:ascii="Calibri" w:hAnsi="Calibri" w:cs="Calibri"/>
        </w:rPr>
      </w:pPr>
    </w:p>
    <w:p w14:paraId="128E0F05" w14:textId="102B6AF7" w:rsidR="00DF52D0" w:rsidRDefault="00DF52D0" w:rsidP="00111C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to pytanie każdy musi odpowiedzieć </w:t>
      </w:r>
      <w:r w:rsidR="00F538B9">
        <w:rPr>
          <w:rFonts w:ascii="Calibri" w:hAnsi="Calibri" w:cs="Calibri"/>
        </w:rPr>
        <w:t xml:space="preserve">sobie samodzielnie. </w:t>
      </w:r>
      <w:r w:rsidR="00FD4D7B">
        <w:rPr>
          <w:rFonts w:ascii="Calibri" w:hAnsi="Calibri" w:cs="Calibri"/>
        </w:rPr>
        <w:t xml:space="preserve">Lata doświadczeń w reprezentowaniu kredytobiorców prowadzą mnie do wniosku, że nie każdy jest gotowy na proces sądowy w danym momencie swojego życia. W kontekście sytuacji Banku BPH S.A. czas jest jednak bardzo istotnym czynnikiem. Jeżeli właściciel tego Banku (amerykańska spółka </w:t>
      </w:r>
      <w:r w:rsidR="00FD4D7B" w:rsidRPr="00FD4D7B">
        <w:rPr>
          <w:rFonts w:ascii="Calibri" w:hAnsi="Calibri" w:cs="Calibri"/>
        </w:rPr>
        <w:t xml:space="preserve">General </w:t>
      </w:r>
      <w:proofErr w:type="spellStart"/>
      <w:r w:rsidR="00FD4D7B" w:rsidRPr="00FD4D7B">
        <w:rPr>
          <w:rFonts w:ascii="Calibri" w:hAnsi="Calibri" w:cs="Calibri"/>
        </w:rPr>
        <w:t>Electric</w:t>
      </w:r>
      <w:proofErr w:type="spellEnd"/>
      <w:r w:rsidR="00FD4D7B" w:rsidRPr="00FD4D7B">
        <w:rPr>
          <w:rFonts w:ascii="Calibri" w:hAnsi="Calibri" w:cs="Calibri"/>
        </w:rPr>
        <w:t xml:space="preserve"> Company</w:t>
      </w:r>
      <w:r w:rsidR="00FD4D7B">
        <w:rPr>
          <w:rFonts w:ascii="Calibri" w:hAnsi="Calibri" w:cs="Calibri"/>
        </w:rPr>
        <w:t xml:space="preserve">) będzie gotowy na to, aby rozliczyć wszystkie kredyty frankowe (czy to na skutek procesu czy ugody), to kredytobiorcy będą bezpieczni. Jeżeli jednak decyzja będzie inna, to wówczas rzeczywiście uzyskanie 100 % środków może być bardzo trudne. </w:t>
      </w:r>
    </w:p>
    <w:p w14:paraId="1CD00BD5" w14:textId="77777777" w:rsidR="007B6DA9" w:rsidRPr="0086544B" w:rsidRDefault="007B6DA9" w:rsidP="00111CB1">
      <w:pPr>
        <w:jc w:val="both"/>
        <w:rPr>
          <w:rFonts w:ascii="Calibri" w:hAnsi="Calibri" w:cs="Calibri"/>
        </w:rPr>
      </w:pPr>
    </w:p>
    <w:p w14:paraId="102922CC" w14:textId="0B7C258C" w:rsidR="003302BC" w:rsidRPr="00E2352F" w:rsidRDefault="0068450B" w:rsidP="00111CB1">
      <w:pPr>
        <w:jc w:val="both"/>
        <w:rPr>
          <w:rFonts w:ascii="Calibri" w:hAnsi="Calibri" w:cs="Calibri"/>
          <w:b/>
          <w:bCs/>
        </w:rPr>
      </w:pPr>
      <w:r w:rsidRPr="00E2352F">
        <w:rPr>
          <w:rFonts w:ascii="Calibri" w:hAnsi="Calibri" w:cs="Calibri"/>
          <w:b/>
          <w:bCs/>
        </w:rPr>
        <w:t xml:space="preserve">Jak najlepiej zabezpieczyć swój interes? </w:t>
      </w:r>
    </w:p>
    <w:p w14:paraId="65D4AAEF" w14:textId="77777777" w:rsidR="003302BC" w:rsidRPr="0086544B" w:rsidRDefault="003302BC" w:rsidP="00111CB1">
      <w:pPr>
        <w:jc w:val="both"/>
        <w:rPr>
          <w:rFonts w:ascii="Calibri" w:hAnsi="Calibri" w:cs="Calibri"/>
        </w:rPr>
      </w:pPr>
    </w:p>
    <w:p w14:paraId="6EBD97E6" w14:textId="0A2E16B9" w:rsidR="00986FA5" w:rsidRPr="0086544B" w:rsidRDefault="00986FA5" w:rsidP="00111CB1">
      <w:pPr>
        <w:jc w:val="both"/>
        <w:rPr>
          <w:rFonts w:ascii="Calibri" w:hAnsi="Calibri" w:cs="Calibri"/>
        </w:rPr>
      </w:pPr>
      <w:r w:rsidRPr="0086544B">
        <w:rPr>
          <w:rFonts w:ascii="Calibri" w:hAnsi="Calibri" w:cs="Calibri"/>
        </w:rPr>
        <w:t xml:space="preserve">W kontekście sytuacji finansowej tego banku </w:t>
      </w:r>
      <w:r w:rsidR="00FE3BB6" w:rsidRPr="0086544B">
        <w:rPr>
          <w:rFonts w:ascii="Calibri" w:hAnsi="Calibri" w:cs="Calibri"/>
        </w:rPr>
        <w:t xml:space="preserve">w mojej ocenie kluczowe jest zadbanie o </w:t>
      </w:r>
      <w:r w:rsidR="0068450B" w:rsidRPr="0086544B">
        <w:rPr>
          <w:rFonts w:ascii="Calibri" w:hAnsi="Calibri" w:cs="Calibri"/>
        </w:rPr>
        <w:t>zabezpieczenie swojego interesu przede wszystkim poprzez złożenie wniosku o zabezpieczenie</w:t>
      </w:r>
      <w:r w:rsidR="00F12992">
        <w:rPr>
          <w:rFonts w:ascii="Calibri" w:hAnsi="Calibri" w:cs="Calibri"/>
        </w:rPr>
        <w:t xml:space="preserve"> wraz z pozwem, aby w sposób zgodny z literą prawa zaprzestać spłacania rat kredytowych. </w:t>
      </w:r>
      <w:r w:rsidR="00647CEE">
        <w:rPr>
          <w:rFonts w:ascii="Calibri" w:hAnsi="Calibri" w:cs="Calibri"/>
        </w:rPr>
        <w:t xml:space="preserve">Praktyka sądów jest taka, że taki wniosek może zostać uwzględniony, jeżeli kredytobiorca spłacił już kapitał, czyli jest rozliczony z bankiem. Wg mojej wiedzy około 90 % takich wniosków jest uwzględnianych na korzyść kredytobiorców. </w:t>
      </w:r>
    </w:p>
    <w:p w14:paraId="1B0CB25D" w14:textId="77777777" w:rsidR="00986FA5" w:rsidRPr="0086544B" w:rsidRDefault="00986FA5" w:rsidP="00111CB1">
      <w:pPr>
        <w:jc w:val="both"/>
        <w:rPr>
          <w:rFonts w:ascii="Calibri" w:hAnsi="Calibri" w:cs="Calibri"/>
        </w:rPr>
      </w:pPr>
    </w:p>
    <w:p w14:paraId="444D86B9" w14:textId="67482AFD" w:rsidR="0068450B" w:rsidRPr="00E2352F" w:rsidRDefault="0068450B" w:rsidP="00111CB1">
      <w:pPr>
        <w:jc w:val="both"/>
        <w:rPr>
          <w:rFonts w:ascii="Calibri" w:hAnsi="Calibri" w:cs="Calibri"/>
          <w:b/>
          <w:bCs/>
        </w:rPr>
      </w:pPr>
      <w:r w:rsidRPr="00E2352F">
        <w:rPr>
          <w:rFonts w:ascii="Calibri" w:hAnsi="Calibri" w:cs="Calibri"/>
          <w:b/>
          <w:bCs/>
        </w:rPr>
        <w:t>Czego uczy sytuacja związana z upadłością Getin Noble Bank S.A.?</w:t>
      </w:r>
    </w:p>
    <w:p w14:paraId="3F928ABC" w14:textId="77777777" w:rsidR="0068450B" w:rsidRPr="0086544B" w:rsidRDefault="0068450B" w:rsidP="00111CB1">
      <w:pPr>
        <w:jc w:val="both"/>
        <w:rPr>
          <w:rFonts w:ascii="Calibri" w:hAnsi="Calibri" w:cs="Calibri"/>
        </w:rPr>
      </w:pPr>
    </w:p>
    <w:p w14:paraId="1E5AC912" w14:textId="40780DB2" w:rsidR="0068450B" w:rsidRPr="0086544B" w:rsidRDefault="00647CEE" w:rsidP="00111C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Najważniejszą </w:t>
      </w:r>
      <w:r w:rsidR="0068450B" w:rsidRPr="0086544B">
        <w:rPr>
          <w:rFonts w:ascii="Calibri" w:hAnsi="Calibri" w:cs="Calibri"/>
        </w:rPr>
        <w:t xml:space="preserve">lekcją, którą z upadłości Getin Noble Bank S.A. powinni wyciągnąć </w:t>
      </w:r>
      <w:proofErr w:type="spellStart"/>
      <w:r w:rsidR="0068450B" w:rsidRPr="0086544B">
        <w:rPr>
          <w:rFonts w:ascii="Calibri" w:hAnsi="Calibri" w:cs="Calibri"/>
        </w:rPr>
        <w:t>Frankowicze</w:t>
      </w:r>
      <w:proofErr w:type="spellEnd"/>
      <w:r w:rsidR="0068450B" w:rsidRPr="0086544B">
        <w:rPr>
          <w:rFonts w:ascii="Calibri" w:hAnsi="Calibri" w:cs="Calibri"/>
        </w:rPr>
        <w:t xml:space="preserve"> z Banku BPH S.A.</w:t>
      </w:r>
      <w:r>
        <w:rPr>
          <w:rFonts w:ascii="Calibri" w:hAnsi="Calibri" w:cs="Calibri"/>
        </w:rPr>
        <w:t>, jest p</w:t>
      </w:r>
      <w:r w:rsidR="0068450B" w:rsidRPr="0086544B">
        <w:rPr>
          <w:rFonts w:ascii="Calibri" w:hAnsi="Calibri" w:cs="Calibri"/>
        </w:rPr>
        <w:t>rzede wszystkim konieczność, a wręcz obowiązek podjęcia działania we własnej sprawie. Rok temu, kiedy wiadomo było, że upadłość Getin Noble Bank S.A. zostanie ogłoszona, wielu kredytobiorców z tego banku uświadomiło sobie, że powinno podjąć</w:t>
      </w:r>
      <w:r>
        <w:rPr>
          <w:rFonts w:ascii="Calibri" w:hAnsi="Calibri" w:cs="Calibri"/>
        </w:rPr>
        <w:t xml:space="preserve"> jakieś </w:t>
      </w:r>
      <w:r w:rsidR="0068450B" w:rsidRPr="0086544B">
        <w:rPr>
          <w:rFonts w:ascii="Calibri" w:hAnsi="Calibri" w:cs="Calibri"/>
        </w:rPr>
        <w:t>kroki związane z ich umową.</w:t>
      </w:r>
      <w:r>
        <w:rPr>
          <w:rFonts w:ascii="Calibri" w:hAnsi="Calibri" w:cs="Calibri"/>
        </w:rPr>
        <w:t xml:space="preserve"> </w:t>
      </w:r>
      <w:r w:rsidR="00E2352F">
        <w:rPr>
          <w:rFonts w:ascii="Calibri" w:hAnsi="Calibri" w:cs="Calibri"/>
        </w:rPr>
        <w:t>Z m</w:t>
      </w:r>
      <w:r w:rsidR="0068450B" w:rsidRPr="0086544B">
        <w:rPr>
          <w:rFonts w:ascii="Calibri" w:hAnsi="Calibri" w:cs="Calibri"/>
        </w:rPr>
        <w:t xml:space="preserve">ojego puntu widzenia </w:t>
      </w:r>
      <w:r w:rsidR="00E2352F">
        <w:rPr>
          <w:rFonts w:ascii="Calibri" w:hAnsi="Calibri" w:cs="Calibri"/>
        </w:rPr>
        <w:t>należa</w:t>
      </w:r>
      <w:r w:rsidR="0068450B" w:rsidRPr="0086544B">
        <w:rPr>
          <w:rFonts w:ascii="Calibri" w:hAnsi="Calibri" w:cs="Calibri"/>
        </w:rPr>
        <w:t xml:space="preserve">ło te kroki podjąć wcześniej, m.in. przeanalizować umowę i zweryfikować wysokość swoich wpłat do banku, aby m.in. uzyskać zabezpieczenie i nie „dotować” masy upadłościowej. </w:t>
      </w:r>
      <w:r w:rsidR="007B6DA9" w:rsidRPr="0086544B">
        <w:rPr>
          <w:rFonts w:ascii="Calibri" w:hAnsi="Calibri" w:cs="Calibri"/>
        </w:rPr>
        <w:t>Kredytobiorcy</w:t>
      </w:r>
      <w:r w:rsidR="0068450B" w:rsidRPr="0086544B">
        <w:rPr>
          <w:rFonts w:ascii="Calibri" w:hAnsi="Calibri" w:cs="Calibri"/>
        </w:rPr>
        <w:t xml:space="preserve">, którzy to zrobili, </w:t>
      </w:r>
      <w:r w:rsidR="00E2352F" w:rsidRPr="0086544B">
        <w:rPr>
          <w:rFonts w:ascii="Calibri" w:hAnsi="Calibri" w:cs="Calibri"/>
        </w:rPr>
        <w:t>są</w:t>
      </w:r>
      <w:r w:rsidR="0068450B" w:rsidRPr="0086544B">
        <w:rPr>
          <w:rFonts w:ascii="Calibri" w:hAnsi="Calibri" w:cs="Calibri"/>
        </w:rPr>
        <w:t xml:space="preserve"> obecnie w </w:t>
      </w:r>
      <w:r w:rsidR="007B6DA9" w:rsidRPr="0086544B">
        <w:rPr>
          <w:rFonts w:ascii="Calibri" w:hAnsi="Calibri" w:cs="Calibri"/>
        </w:rPr>
        <w:t>najlepszej</w:t>
      </w:r>
      <w:r w:rsidR="0068450B" w:rsidRPr="0086544B">
        <w:rPr>
          <w:rFonts w:ascii="Calibri" w:hAnsi="Calibri" w:cs="Calibri"/>
        </w:rPr>
        <w:t xml:space="preserve"> </w:t>
      </w:r>
      <w:r w:rsidR="00E2352F" w:rsidRPr="0086544B">
        <w:rPr>
          <w:rFonts w:ascii="Calibri" w:hAnsi="Calibri" w:cs="Calibri"/>
        </w:rPr>
        <w:t>sytuacji</w:t>
      </w:r>
      <w:r w:rsidR="0068450B" w:rsidRPr="0086544B">
        <w:rPr>
          <w:rFonts w:ascii="Calibri" w:hAnsi="Calibri" w:cs="Calibri"/>
        </w:rPr>
        <w:t>, bo maj</w:t>
      </w:r>
      <w:r w:rsidR="00E2352F">
        <w:rPr>
          <w:rFonts w:ascii="Calibri" w:hAnsi="Calibri" w:cs="Calibri"/>
        </w:rPr>
        <w:t xml:space="preserve">ą </w:t>
      </w:r>
      <w:r w:rsidR="0068450B" w:rsidRPr="0086544B">
        <w:rPr>
          <w:rFonts w:ascii="Calibri" w:hAnsi="Calibri" w:cs="Calibri"/>
        </w:rPr>
        <w:t xml:space="preserve">prawomocne </w:t>
      </w:r>
      <w:r w:rsidR="007B6DA9" w:rsidRPr="0086544B">
        <w:rPr>
          <w:rFonts w:ascii="Calibri" w:hAnsi="Calibri" w:cs="Calibri"/>
        </w:rPr>
        <w:t>postanowienia</w:t>
      </w:r>
      <w:r w:rsidR="0068450B" w:rsidRPr="0086544B">
        <w:rPr>
          <w:rFonts w:ascii="Calibri" w:hAnsi="Calibri" w:cs="Calibri"/>
        </w:rPr>
        <w:t xml:space="preserve"> o </w:t>
      </w:r>
      <w:r w:rsidR="00E2352F" w:rsidRPr="0086544B">
        <w:rPr>
          <w:rFonts w:ascii="Calibri" w:hAnsi="Calibri" w:cs="Calibri"/>
        </w:rPr>
        <w:t>zabezpiecz</w:t>
      </w:r>
      <w:r w:rsidR="00E2352F">
        <w:rPr>
          <w:rFonts w:ascii="Calibri" w:hAnsi="Calibri" w:cs="Calibri"/>
        </w:rPr>
        <w:t>e</w:t>
      </w:r>
      <w:r w:rsidR="00E2352F" w:rsidRPr="0086544B">
        <w:rPr>
          <w:rFonts w:ascii="Calibri" w:hAnsi="Calibri" w:cs="Calibri"/>
        </w:rPr>
        <w:t>niu</w:t>
      </w:r>
      <w:r w:rsidR="0068450B" w:rsidRPr="0086544B">
        <w:rPr>
          <w:rFonts w:ascii="Calibri" w:hAnsi="Calibri" w:cs="Calibri"/>
        </w:rPr>
        <w:t xml:space="preserve">, od miesięcy nie płacą rat i oczekują na wyrok w swojej sprawie. </w:t>
      </w:r>
    </w:p>
    <w:p w14:paraId="2950997F" w14:textId="77777777" w:rsidR="00111CB1" w:rsidRPr="0086544B" w:rsidRDefault="00111CB1" w:rsidP="00111CB1">
      <w:pPr>
        <w:jc w:val="both"/>
        <w:rPr>
          <w:rFonts w:ascii="Calibri" w:hAnsi="Calibri" w:cs="Calibri"/>
        </w:rPr>
      </w:pPr>
    </w:p>
    <w:p w14:paraId="34B0D6EC" w14:textId="04926569" w:rsidR="00647CEE" w:rsidRDefault="00647CEE" w:rsidP="00FD4D7B">
      <w:pPr>
        <w:jc w:val="both"/>
        <w:rPr>
          <w:rFonts w:ascii="Calibri" w:hAnsi="Calibri" w:cs="Calibri"/>
          <w:b/>
          <w:bCs/>
        </w:rPr>
      </w:pPr>
      <w:r w:rsidRPr="00647CEE">
        <w:rPr>
          <w:rFonts w:ascii="Calibri" w:hAnsi="Calibri" w:cs="Calibri"/>
          <w:b/>
          <w:bCs/>
        </w:rPr>
        <w:lastRenderedPageBreak/>
        <w:t xml:space="preserve">Konkluzja. </w:t>
      </w:r>
    </w:p>
    <w:p w14:paraId="4AB0B8B9" w14:textId="77777777" w:rsidR="00647CEE" w:rsidRPr="00647CEE" w:rsidRDefault="00647CEE" w:rsidP="00FD4D7B">
      <w:pPr>
        <w:jc w:val="both"/>
        <w:rPr>
          <w:rFonts w:ascii="Calibri" w:hAnsi="Calibri" w:cs="Calibri"/>
          <w:b/>
          <w:bCs/>
        </w:rPr>
      </w:pPr>
    </w:p>
    <w:p w14:paraId="58D1C688" w14:textId="1CC4C478" w:rsidR="00FD4D7B" w:rsidRDefault="00647CEE" w:rsidP="00FD4D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Quasi </w:t>
      </w:r>
      <w:r w:rsidR="00FD4D7B">
        <w:rPr>
          <w:rFonts w:ascii="Calibri" w:hAnsi="Calibri" w:cs="Calibri"/>
        </w:rPr>
        <w:t xml:space="preserve">„upadłość” Banku BPH S.A. została ogłoszona de facto z momentem jego podziału w 2016 roku, kiedy to aktywa i produkty nieobarczone ryzykiem prawnym zostały wydzielone do Alior Bank S.A. i kiedy to w Banku BPH S.A. zostawiono kredytu hipoteczne powiązane z walutami obcymi, w szczególności kursem franka szwajcarskiego. Nie dziwią zatem pogarszające się wyniki finansowe tego banku. To powinno mobilizować kredytobiorców z tego Banku do podjęcia działań. </w:t>
      </w:r>
    </w:p>
    <w:p w14:paraId="02BA25CD" w14:textId="77777777" w:rsidR="00FD4D7B" w:rsidRPr="007B6DA9" w:rsidRDefault="00FD4D7B" w:rsidP="00FD4D7B">
      <w:pPr>
        <w:jc w:val="both"/>
        <w:rPr>
          <w:rFonts w:ascii="Calibri" w:hAnsi="Calibri" w:cs="Calibri"/>
        </w:rPr>
      </w:pPr>
    </w:p>
    <w:p w14:paraId="5B66FE07" w14:textId="48C39B31" w:rsidR="000061E5" w:rsidRPr="0086544B" w:rsidRDefault="000061E5">
      <w:pPr>
        <w:jc w:val="both"/>
        <w:rPr>
          <w:rFonts w:ascii="Calibri" w:hAnsi="Calibri" w:cs="Calibri"/>
        </w:rPr>
      </w:pPr>
    </w:p>
    <w:sectPr w:rsidR="000061E5" w:rsidRPr="0086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1"/>
    <w:rsid w:val="000061E5"/>
    <w:rsid w:val="000F02D6"/>
    <w:rsid w:val="000F30BB"/>
    <w:rsid w:val="00111CB1"/>
    <w:rsid w:val="00206754"/>
    <w:rsid w:val="0023223D"/>
    <w:rsid w:val="002540AD"/>
    <w:rsid w:val="003302BC"/>
    <w:rsid w:val="00396663"/>
    <w:rsid w:val="003D5FC8"/>
    <w:rsid w:val="004E26C6"/>
    <w:rsid w:val="005B0480"/>
    <w:rsid w:val="00647CEE"/>
    <w:rsid w:val="00676D4D"/>
    <w:rsid w:val="0068450B"/>
    <w:rsid w:val="00725014"/>
    <w:rsid w:val="007513E5"/>
    <w:rsid w:val="007B6DA9"/>
    <w:rsid w:val="00802593"/>
    <w:rsid w:val="0086544B"/>
    <w:rsid w:val="00930E57"/>
    <w:rsid w:val="00986FA5"/>
    <w:rsid w:val="00A92477"/>
    <w:rsid w:val="00AB1228"/>
    <w:rsid w:val="00B16904"/>
    <w:rsid w:val="00B84243"/>
    <w:rsid w:val="00BC0319"/>
    <w:rsid w:val="00BD555E"/>
    <w:rsid w:val="00C1590D"/>
    <w:rsid w:val="00D411AE"/>
    <w:rsid w:val="00DE3C69"/>
    <w:rsid w:val="00DF52D0"/>
    <w:rsid w:val="00E2352F"/>
    <w:rsid w:val="00E73E8E"/>
    <w:rsid w:val="00E851C6"/>
    <w:rsid w:val="00EA415D"/>
    <w:rsid w:val="00F12992"/>
    <w:rsid w:val="00F538B9"/>
    <w:rsid w:val="00FD4D7B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9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1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1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1C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1C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1C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1C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1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1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1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1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1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1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1C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1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C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1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1C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1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1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1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1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1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1CB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302B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1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1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1C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1C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1C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1C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1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1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1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1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1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1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1C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1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C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1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1C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1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1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1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1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1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1CB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302B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adwoka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 | PZ Adwokaci</dc:creator>
  <cp:keywords/>
  <dc:description/>
  <cp:lastModifiedBy>Wiktoria Romańska</cp:lastModifiedBy>
  <cp:revision>12</cp:revision>
  <cp:lastPrinted>2024-06-20T11:22:00Z</cp:lastPrinted>
  <dcterms:created xsi:type="dcterms:W3CDTF">2024-06-11T12:42:00Z</dcterms:created>
  <dcterms:modified xsi:type="dcterms:W3CDTF">2024-06-26T09:01:00Z</dcterms:modified>
</cp:coreProperties>
</file>